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3639"/>
        <w:gridCol w:w="418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42DBF" w:rsidP="003B30DC">
            <w:pPr>
              <w:spacing w:after="0" w:line="240" w:lineRule="auto"/>
              <w:jc w:val="center"/>
              <w:outlineLvl w:val="0"/>
              <w:rPr>
                <w:rFonts w:eastAsia="Times New Roman"/>
                <w:b/>
                <w:bCs/>
                <w:color w:val="4D4D4D"/>
                <w:kern w:val="36"/>
                <w:sz w:val="24"/>
                <w:szCs w:val="24"/>
                <w:lang w:val="en"/>
              </w:rPr>
            </w:pPr>
            <w:r>
              <w:rPr>
                <w:rFonts w:eastAsia="Times New Roman"/>
                <w:b/>
                <w:bCs/>
                <w:noProof/>
                <w:color w:val="4D4D4D"/>
                <w:kern w:val="36"/>
                <w:sz w:val="24"/>
                <w:szCs w:val="24"/>
              </w:rPr>
              <w:drawing>
                <wp:inline distT="0" distB="0" distL="0" distR="0">
                  <wp:extent cx="974090" cy="36703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090" cy="36703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5C3BD8" w:rsidP="008A1623">
      <w:pPr>
        <w:spacing w:after="0" w:line="240" w:lineRule="auto"/>
        <w:jc w:val="center"/>
        <w:outlineLvl w:val="0"/>
        <w:rPr>
          <w:rFonts w:eastAsia="Times New Roman"/>
          <w:b/>
          <w:bCs/>
          <w:color w:val="4D4D4D"/>
          <w:kern w:val="36"/>
          <w:lang w:val="en"/>
        </w:rPr>
      </w:pPr>
      <w:r w:rsidRPr="005C3BD8">
        <w:rPr>
          <w:rFonts w:eastAsia="Times New Roman"/>
          <w:b/>
          <w:bCs/>
          <w:color w:val="4D4D4D"/>
          <w:kern w:val="36"/>
          <w:sz w:val="28"/>
          <w:u w:val="single"/>
          <w:lang w:val="en"/>
        </w:rPr>
        <w:t>Alcohol and Substance Abuse Policy</w:t>
      </w:r>
    </w:p>
    <w:p w:rsidR="00C941A7" w:rsidRDefault="00C941A7" w:rsidP="008A1623">
      <w:pPr>
        <w:spacing w:after="0" w:line="240" w:lineRule="auto"/>
        <w:jc w:val="center"/>
        <w:outlineLvl w:val="0"/>
        <w:rPr>
          <w:rFonts w:eastAsia="Times New Roman"/>
          <w:b/>
          <w:bCs/>
          <w:color w:val="4D4D4D"/>
          <w:kern w:val="36"/>
          <w:lang w:val="en"/>
        </w:rPr>
      </w:pPr>
    </w:p>
    <w:p w:rsidR="005C3BD8" w:rsidRPr="0085680C" w:rsidRDefault="005C3BD8"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475106" w:rsidP="008A7EA1">
      <w:pPr>
        <w:spacing w:after="0" w:line="240" w:lineRule="auto"/>
      </w:pPr>
      <w:r w:rsidRPr="00475106">
        <w:t>To eliminate the abusive use of alcohol and illegal drugs through education, rehabilitation, and supervision techniques.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475106" w:rsidRDefault="00475106" w:rsidP="00475106">
      <w:pPr>
        <w:spacing w:after="0" w:line="240" w:lineRule="auto"/>
      </w:pPr>
      <w:r>
        <w:t xml:space="preserve">Fire department members are not permitted to be on duty, to respond to emergency incidents, to drive or operate fire department vehicles, nor to perform any other duty-related functions while under the influence of alcohol or </w:t>
      </w:r>
      <w:r w:rsidR="00021F3E">
        <w:t xml:space="preserve">controlled </w:t>
      </w:r>
      <w:r>
        <w:t xml:space="preserve">drugs. </w:t>
      </w:r>
    </w:p>
    <w:p w:rsidR="00475106" w:rsidRDefault="00475106" w:rsidP="00475106">
      <w:pPr>
        <w:spacing w:after="0" w:line="240" w:lineRule="auto"/>
      </w:pPr>
    </w:p>
    <w:p w:rsidR="00475106" w:rsidRDefault="00475106" w:rsidP="00475106">
      <w:pPr>
        <w:spacing w:after="0" w:line="240" w:lineRule="auto"/>
      </w:pPr>
      <w:r>
        <w:t xml:space="preserve">Fire department members shall not perform any duty-related functions for a minimum of eight (8) hours following the consumption of any alcoholic beverages. A longer period waiting period may be required to ensure that the individual is free of impairment. A blood alcohol concentration of 0.02 percent </w:t>
      </w:r>
      <w:r w:rsidR="00021F3E">
        <w:t xml:space="preserve">or higher, while on duty, presumes </w:t>
      </w:r>
      <w:r>
        <w:t>that the member is under the influence of alcohol.</w:t>
      </w:r>
    </w:p>
    <w:p w:rsidR="00475106" w:rsidRDefault="00475106" w:rsidP="00475106">
      <w:pPr>
        <w:spacing w:after="0" w:line="240" w:lineRule="auto"/>
      </w:pPr>
    </w:p>
    <w:p w:rsidR="002865D3" w:rsidRPr="003B1531" w:rsidRDefault="00475106" w:rsidP="00475106">
      <w:pPr>
        <w:spacing w:after="0" w:line="240" w:lineRule="auto"/>
      </w:pPr>
      <w:r>
        <w:t xml:space="preserve">The driver and the officer in charge of any fire department vehicle that is involved in an accident that causes measurable property damage, injury or death shall be tested for the presence of alcohol </w:t>
      </w:r>
      <w:r w:rsidR="00021F3E">
        <w:t>and illegal</w:t>
      </w:r>
      <w:r>
        <w:t xml:space="preserve"> drugs with the least possible delay. In addition, a chief officer may require a member to be tested for the presence of </w:t>
      </w:r>
      <w:r w:rsidR="00021F3E">
        <w:t xml:space="preserve">controlled </w:t>
      </w:r>
      <w:r>
        <w:t>drugs or alcohol at any time, upon reasonable suspicion that the member could be under the influence of such substances.</w:t>
      </w: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FE4DC5" w:rsidRPr="003B1531" w:rsidRDefault="00FE4DC5" w:rsidP="00FE4DC5">
      <w:pPr>
        <w:spacing w:after="0" w:line="240" w:lineRule="auto"/>
      </w:pPr>
      <w:r>
        <w:t xml:space="preserve">West Redding (CT) VFD – GOG </w:t>
      </w:r>
      <w:r w:rsidR="00475106">
        <w:t>2-A-205</w:t>
      </w:r>
      <w:r>
        <w:t xml:space="preserve"> </w:t>
      </w:r>
      <w:r w:rsidR="00F84573">
        <w:t>Developed/Revised/Reviewed by VFIS ETC</w:t>
      </w: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31C"/>
    <w:rsid w:val="00012E82"/>
    <w:rsid w:val="00021F3E"/>
    <w:rsid w:val="000334CC"/>
    <w:rsid w:val="0004399F"/>
    <w:rsid w:val="00285277"/>
    <w:rsid w:val="002865D3"/>
    <w:rsid w:val="003B1531"/>
    <w:rsid w:val="003B30DC"/>
    <w:rsid w:val="003D6653"/>
    <w:rsid w:val="00400614"/>
    <w:rsid w:val="00475106"/>
    <w:rsid w:val="005337CC"/>
    <w:rsid w:val="005744AA"/>
    <w:rsid w:val="005B5039"/>
    <w:rsid w:val="005C3BD8"/>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D0B0C"/>
    <w:rsid w:val="00AF6122"/>
    <w:rsid w:val="00B1039A"/>
    <w:rsid w:val="00B7609F"/>
    <w:rsid w:val="00B77D3E"/>
    <w:rsid w:val="00BA0EDF"/>
    <w:rsid w:val="00C16BE5"/>
    <w:rsid w:val="00C42DBF"/>
    <w:rsid w:val="00C527A0"/>
    <w:rsid w:val="00C90E04"/>
    <w:rsid w:val="00C941A7"/>
    <w:rsid w:val="00CC24CD"/>
    <w:rsid w:val="00D70884"/>
    <w:rsid w:val="00DD7D98"/>
    <w:rsid w:val="00E2670E"/>
    <w:rsid w:val="00EA03C6"/>
    <w:rsid w:val="00EF798C"/>
    <w:rsid w:val="00F309AB"/>
    <w:rsid w:val="00F40AE2"/>
    <w:rsid w:val="00F60204"/>
    <w:rsid w:val="00F84573"/>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F. Jenaway</dc:creator>
  <cp:lastModifiedBy>Christopher L. Palmer</cp:lastModifiedBy>
  <cp:revision>2</cp:revision>
  <cp:lastPrinted>2018-04-13T16:27:00Z</cp:lastPrinted>
  <dcterms:created xsi:type="dcterms:W3CDTF">2019-03-22T17:51:00Z</dcterms:created>
  <dcterms:modified xsi:type="dcterms:W3CDTF">2019-03-22T17:51:00Z</dcterms:modified>
</cp:coreProperties>
</file>