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77C04"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590C97"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Ventilation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A41FCC" w:rsidP="008A7EA1">
      <w:pPr>
        <w:spacing w:after="0" w:line="240" w:lineRule="auto"/>
      </w:pPr>
      <w:r w:rsidRPr="00A41FCC">
        <w:t xml:space="preserve">To aid the </w:t>
      </w:r>
      <w:r w:rsidR="006E6D85" w:rsidRPr="00A41FCC">
        <w:t>incid</w:t>
      </w:r>
      <w:r w:rsidR="006E6D85">
        <w:t xml:space="preserve">ent commander with </w:t>
      </w:r>
      <w:r>
        <w:t xml:space="preserve">performing </w:t>
      </w:r>
      <w:r w:rsidRPr="00A41FCC">
        <w:t>ventilation size up and provide the options available for ventilation.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41FCC" w:rsidRPr="00A41FCC" w:rsidRDefault="00A41FCC" w:rsidP="00A41FCC">
      <w:pPr>
        <w:spacing w:after="0" w:line="240" w:lineRule="auto"/>
        <w:rPr>
          <w:b/>
        </w:rPr>
      </w:pPr>
      <w:r w:rsidRPr="00A41FCC">
        <w:rPr>
          <w:b/>
        </w:rPr>
        <w:t>Ventilation Size up</w:t>
      </w:r>
    </w:p>
    <w:p w:rsidR="00A41FCC" w:rsidRDefault="00A41FCC" w:rsidP="00A41FCC">
      <w:pPr>
        <w:numPr>
          <w:ilvl w:val="0"/>
          <w:numId w:val="7"/>
        </w:numPr>
        <w:spacing w:after="0" w:line="240" w:lineRule="auto"/>
      </w:pPr>
      <w:r>
        <w:t>Ventilation size up requires evaluation of the following conditions:</w:t>
      </w:r>
    </w:p>
    <w:p w:rsidR="00A41FCC" w:rsidRDefault="00A41FCC" w:rsidP="00A41FCC">
      <w:pPr>
        <w:numPr>
          <w:ilvl w:val="1"/>
          <w:numId w:val="7"/>
        </w:numPr>
        <w:spacing w:after="0" w:line="240" w:lineRule="auto"/>
      </w:pPr>
      <w:r>
        <w:t>What type of building is involved?</w:t>
      </w:r>
    </w:p>
    <w:p w:rsidR="00A41FCC" w:rsidRDefault="00A41FCC" w:rsidP="00A41FCC">
      <w:pPr>
        <w:numPr>
          <w:ilvl w:val="1"/>
          <w:numId w:val="7"/>
        </w:numPr>
        <w:spacing w:after="0" w:line="240" w:lineRule="auto"/>
      </w:pPr>
      <w:r>
        <w:t>Where is the location and the extent of the fire?</w:t>
      </w:r>
    </w:p>
    <w:p w:rsidR="00A41FCC" w:rsidRDefault="00A41FCC" w:rsidP="00A41FCC">
      <w:pPr>
        <w:numPr>
          <w:ilvl w:val="1"/>
          <w:numId w:val="7"/>
        </w:numPr>
        <w:spacing w:after="0" w:line="240" w:lineRule="auto"/>
      </w:pPr>
      <w:r>
        <w:t xml:space="preserve">What are the </w:t>
      </w:r>
      <w:r w:rsidR="006E6D85">
        <w:t>l</w:t>
      </w:r>
      <w:r>
        <w:t>ife hazards involved?</w:t>
      </w:r>
    </w:p>
    <w:p w:rsidR="00A41FCC" w:rsidRDefault="00A41FCC" w:rsidP="00A41FCC">
      <w:pPr>
        <w:numPr>
          <w:ilvl w:val="1"/>
          <w:numId w:val="7"/>
        </w:numPr>
        <w:spacing w:after="0" w:line="240" w:lineRule="auto"/>
      </w:pPr>
      <w:r>
        <w:t>Is ventilation required and what type of ventilation would be beneficial?</w:t>
      </w:r>
    </w:p>
    <w:p w:rsidR="00A41FCC" w:rsidRDefault="00A41FCC" w:rsidP="00A41FCC">
      <w:pPr>
        <w:numPr>
          <w:ilvl w:val="0"/>
          <w:numId w:val="7"/>
        </w:numPr>
        <w:spacing w:after="0" w:line="240" w:lineRule="auto"/>
      </w:pPr>
      <w:r>
        <w:t>The methods of ventilation that are available are:</w:t>
      </w:r>
    </w:p>
    <w:p w:rsidR="00A41FCC" w:rsidRDefault="00A41FCC" w:rsidP="00A41FCC">
      <w:pPr>
        <w:numPr>
          <w:ilvl w:val="1"/>
          <w:numId w:val="7"/>
        </w:numPr>
        <w:spacing w:after="0" w:line="240" w:lineRule="auto"/>
      </w:pPr>
      <w:r>
        <w:t>Horizontal</w:t>
      </w:r>
    </w:p>
    <w:p w:rsidR="00A41FCC" w:rsidRDefault="00A41FCC" w:rsidP="00A41FCC">
      <w:pPr>
        <w:numPr>
          <w:ilvl w:val="1"/>
          <w:numId w:val="7"/>
        </w:numPr>
        <w:spacing w:after="0" w:line="240" w:lineRule="auto"/>
      </w:pPr>
      <w:r>
        <w:t>Vertical</w:t>
      </w:r>
    </w:p>
    <w:p w:rsidR="00A41FCC" w:rsidRDefault="00A41FCC" w:rsidP="00A41FCC">
      <w:pPr>
        <w:numPr>
          <w:ilvl w:val="1"/>
          <w:numId w:val="7"/>
        </w:numPr>
        <w:spacing w:after="0" w:line="240" w:lineRule="auto"/>
      </w:pPr>
      <w:r>
        <w:t>Forced (positive pressure)</w:t>
      </w:r>
    </w:p>
    <w:p w:rsidR="00A41FCC" w:rsidRDefault="00A41FCC" w:rsidP="00A41FCC">
      <w:pPr>
        <w:spacing w:after="0" w:line="240" w:lineRule="auto"/>
      </w:pPr>
    </w:p>
    <w:p w:rsidR="00A41FCC" w:rsidRPr="00A41FCC" w:rsidRDefault="00A41FCC" w:rsidP="00A41FCC">
      <w:pPr>
        <w:spacing w:after="0" w:line="240" w:lineRule="auto"/>
        <w:rPr>
          <w:b/>
        </w:rPr>
      </w:pPr>
      <w:r w:rsidRPr="00A41FCC">
        <w:rPr>
          <w:b/>
        </w:rPr>
        <w:t>Ventilation Strategy</w:t>
      </w:r>
    </w:p>
    <w:p w:rsidR="00A41FCC" w:rsidRDefault="00A41FCC" w:rsidP="00A41FCC">
      <w:pPr>
        <w:numPr>
          <w:ilvl w:val="0"/>
          <w:numId w:val="8"/>
        </w:numPr>
        <w:spacing w:after="0" w:line="240" w:lineRule="auto"/>
      </w:pPr>
      <w:r>
        <w:t>One Story Dwelling:</w:t>
      </w:r>
    </w:p>
    <w:p w:rsidR="00A41FCC" w:rsidRDefault="00A41FCC" w:rsidP="00A41FCC">
      <w:pPr>
        <w:numPr>
          <w:ilvl w:val="1"/>
          <w:numId w:val="8"/>
        </w:numPr>
        <w:spacing w:after="0" w:line="240" w:lineRule="auto"/>
      </w:pPr>
      <w:r>
        <w:t>Open windows ahead of the attack line crew as the fire is extinguished.</w:t>
      </w:r>
    </w:p>
    <w:p w:rsidR="00A41FCC" w:rsidRDefault="00A41FCC" w:rsidP="00A41FCC">
      <w:pPr>
        <w:numPr>
          <w:ilvl w:val="0"/>
          <w:numId w:val="8"/>
        </w:numPr>
        <w:spacing w:after="0" w:line="240" w:lineRule="auto"/>
      </w:pPr>
      <w:r>
        <w:t>Two Story Dwelling:</w:t>
      </w:r>
    </w:p>
    <w:p w:rsidR="00A41FCC" w:rsidRDefault="00A41FCC" w:rsidP="00A41FCC">
      <w:pPr>
        <w:numPr>
          <w:ilvl w:val="1"/>
          <w:numId w:val="8"/>
        </w:numPr>
        <w:spacing w:after="0" w:line="240" w:lineRule="auto"/>
      </w:pPr>
      <w:r>
        <w:t xml:space="preserve">Open window near the attack crew on the </w:t>
      </w:r>
      <w:r w:rsidR="006E6D85">
        <w:t>1</w:t>
      </w:r>
      <w:r>
        <w:t xml:space="preserve">st and 2nd floors and then </w:t>
      </w:r>
      <w:r w:rsidR="006E6D85">
        <w:t>open</w:t>
      </w:r>
      <w:r>
        <w:t xml:space="preserve"> the remainder of the 2nd floor windows.</w:t>
      </w:r>
    </w:p>
    <w:p w:rsidR="00A41FCC" w:rsidRDefault="00A41FCC" w:rsidP="00A41FCC">
      <w:pPr>
        <w:numPr>
          <w:ilvl w:val="0"/>
          <w:numId w:val="8"/>
        </w:numPr>
        <w:spacing w:after="0" w:line="240" w:lineRule="auto"/>
      </w:pPr>
      <w:r>
        <w:t>Attic Fires:</w:t>
      </w:r>
    </w:p>
    <w:p w:rsidR="00A41FCC" w:rsidRDefault="00A41FCC" w:rsidP="00A41FCC">
      <w:pPr>
        <w:numPr>
          <w:ilvl w:val="1"/>
          <w:numId w:val="8"/>
        </w:numPr>
        <w:spacing w:after="0" w:line="240" w:lineRule="auto"/>
      </w:pPr>
      <w:r>
        <w:t xml:space="preserve">Attic fires should be attacked from the interior and ventilation should initially be </w:t>
      </w:r>
      <w:r w:rsidR="006E6D85">
        <w:t>completed</w:t>
      </w:r>
      <w:r>
        <w:t xml:space="preserve"> by pulling and removing the windows and louvers at each end of the attic area.</w:t>
      </w:r>
    </w:p>
    <w:p w:rsidR="00A41FCC" w:rsidRDefault="00A41FCC" w:rsidP="00A41FCC">
      <w:pPr>
        <w:numPr>
          <w:ilvl w:val="1"/>
          <w:numId w:val="8"/>
        </w:numPr>
        <w:spacing w:after="0" w:line="240" w:lineRule="auto"/>
      </w:pPr>
      <w:r>
        <w:t>If further ventilation is required, vertical ventilation should be performed.</w:t>
      </w:r>
    </w:p>
    <w:p w:rsidR="00A41FCC" w:rsidRDefault="00A41FCC" w:rsidP="00A41FCC">
      <w:pPr>
        <w:numPr>
          <w:ilvl w:val="0"/>
          <w:numId w:val="8"/>
        </w:numPr>
        <w:spacing w:after="0" w:line="240" w:lineRule="auto"/>
      </w:pPr>
      <w:r>
        <w:t>Basement Fires:</w:t>
      </w:r>
    </w:p>
    <w:p w:rsidR="00A41FCC" w:rsidRDefault="00A41FCC" w:rsidP="00A41FCC">
      <w:pPr>
        <w:numPr>
          <w:ilvl w:val="1"/>
          <w:numId w:val="8"/>
        </w:numPr>
        <w:spacing w:after="0" w:line="240" w:lineRule="auto"/>
      </w:pPr>
      <w:r>
        <w:t>In a residential basement, ventilate all available openings to the outside as well as the first floor doors and windows.</w:t>
      </w:r>
    </w:p>
    <w:p w:rsidR="00A41FCC" w:rsidRDefault="00A41FCC" w:rsidP="00A41FCC">
      <w:pPr>
        <w:numPr>
          <w:ilvl w:val="0"/>
          <w:numId w:val="8"/>
        </w:numPr>
        <w:spacing w:after="0" w:line="240" w:lineRule="auto"/>
      </w:pPr>
      <w:r>
        <w:t>Industrial/Commercial Fires:</w:t>
      </w:r>
    </w:p>
    <w:p w:rsidR="00A41FCC" w:rsidRDefault="00A41FCC" w:rsidP="00A41FCC">
      <w:pPr>
        <w:numPr>
          <w:ilvl w:val="1"/>
          <w:numId w:val="8"/>
        </w:numPr>
        <w:spacing w:after="0" w:line="240" w:lineRule="auto"/>
      </w:pPr>
      <w:r>
        <w:lastRenderedPageBreak/>
        <w:t>Ventilation should start on the roof by utilizing natural openings (e.g., scuttle doors or skylights) and then perform other vertical ventilation as required.</w:t>
      </w:r>
    </w:p>
    <w:p w:rsidR="00A41FCC" w:rsidRDefault="00A41FCC" w:rsidP="00A41FCC">
      <w:pPr>
        <w:numPr>
          <w:ilvl w:val="1"/>
          <w:numId w:val="8"/>
        </w:numPr>
        <w:spacing w:after="0" w:line="240" w:lineRule="auto"/>
      </w:pPr>
      <w:r>
        <w:t>The potential of roof collapse should be considered for certain types of construction.</w:t>
      </w:r>
    </w:p>
    <w:p w:rsidR="00A41FCC" w:rsidRDefault="00A41FCC" w:rsidP="00A41FCC">
      <w:pPr>
        <w:numPr>
          <w:ilvl w:val="0"/>
          <w:numId w:val="8"/>
        </w:numPr>
        <w:spacing w:after="0" w:line="240" w:lineRule="auto"/>
      </w:pPr>
      <w:r>
        <w:t>Apartment Buildings:</w:t>
      </w:r>
    </w:p>
    <w:p w:rsidR="00A41FCC" w:rsidRDefault="00A41FCC" w:rsidP="00A41FCC">
      <w:pPr>
        <w:numPr>
          <w:ilvl w:val="1"/>
          <w:numId w:val="8"/>
        </w:numPr>
        <w:spacing w:after="0" w:line="240" w:lineRule="auto"/>
      </w:pPr>
      <w:r>
        <w:t>Perform vertical ventilation above service cores and stair shafts.</w:t>
      </w:r>
    </w:p>
    <w:p w:rsidR="00A41FCC" w:rsidRDefault="00A41FCC" w:rsidP="00A41FCC">
      <w:pPr>
        <w:spacing w:after="0" w:line="240" w:lineRule="auto"/>
      </w:pPr>
    </w:p>
    <w:p w:rsidR="00A41FCC" w:rsidRPr="00A41FCC" w:rsidRDefault="00A41FCC" w:rsidP="00A41FCC">
      <w:pPr>
        <w:spacing w:after="0" w:line="240" w:lineRule="auto"/>
        <w:rPr>
          <w:b/>
        </w:rPr>
      </w:pPr>
      <w:r w:rsidRPr="00A41FCC">
        <w:rPr>
          <w:b/>
        </w:rPr>
        <w:t>Vertical Ventilation</w:t>
      </w:r>
    </w:p>
    <w:p w:rsidR="00A41FCC" w:rsidRDefault="002F6559" w:rsidP="00A41FCC">
      <w:pPr>
        <w:numPr>
          <w:ilvl w:val="0"/>
          <w:numId w:val="9"/>
        </w:numPr>
        <w:spacing w:after="0" w:line="240" w:lineRule="auto"/>
      </w:pPr>
      <w:r>
        <w:t>Fire</w:t>
      </w:r>
      <w:r w:rsidR="00A41FCC">
        <w:t xml:space="preserve">fighters should work in teams of at least two to perform vertical ventilation and all personnel shall wear </w:t>
      </w:r>
      <w:r w:rsidR="006E6D85">
        <w:t>self-contained breathing apparatus (</w:t>
      </w:r>
      <w:r w:rsidR="00A41FCC">
        <w:t>SCBA</w:t>
      </w:r>
      <w:r w:rsidR="006E6D85">
        <w:t>)</w:t>
      </w:r>
      <w:r w:rsidR="00A41FCC">
        <w:t>.</w:t>
      </w:r>
    </w:p>
    <w:p w:rsidR="00A41FCC" w:rsidRDefault="00A41FCC" w:rsidP="00A41FCC">
      <w:pPr>
        <w:numPr>
          <w:ilvl w:val="0"/>
          <w:numId w:val="9"/>
        </w:numPr>
        <w:spacing w:after="0" w:line="240" w:lineRule="auto"/>
      </w:pPr>
      <w:r>
        <w:t xml:space="preserve">All personnel operating in the area of the ventilation opening or if conditions are poor on the roof, </w:t>
      </w:r>
      <w:r w:rsidR="002F6559">
        <w:t>firefighter</w:t>
      </w:r>
      <w:r>
        <w:t>s shall utilize SCBA.</w:t>
      </w:r>
    </w:p>
    <w:p w:rsidR="00A41FCC" w:rsidRDefault="00A41FCC" w:rsidP="00A41FCC">
      <w:pPr>
        <w:numPr>
          <w:ilvl w:val="0"/>
          <w:numId w:val="9"/>
        </w:numPr>
        <w:spacing w:after="0" w:line="240" w:lineRule="auto"/>
      </w:pPr>
      <w:r>
        <w:t>Personnel shall determine the stability of the roof by sounding out the roof prior to stepping off the ladder. If the structural stability is in question, report the condition to the Incident Commander and do not allow any personnel to step onto the roof.</w:t>
      </w:r>
    </w:p>
    <w:p w:rsidR="00A41FCC" w:rsidRDefault="00A41FCC" w:rsidP="00A41FCC">
      <w:pPr>
        <w:numPr>
          <w:ilvl w:val="0"/>
          <w:numId w:val="9"/>
        </w:numPr>
        <w:spacing w:after="0" w:line="240" w:lineRule="auto"/>
      </w:pPr>
      <w:r>
        <w:t>No personnel shall be assigned to perform vertical ventilation on a roof under the following conditions:</w:t>
      </w:r>
    </w:p>
    <w:p w:rsidR="00A41FCC" w:rsidRDefault="00A41FCC" w:rsidP="00A41FCC">
      <w:pPr>
        <w:numPr>
          <w:ilvl w:val="1"/>
          <w:numId w:val="9"/>
        </w:numPr>
        <w:spacing w:after="0" w:line="240" w:lineRule="auto"/>
      </w:pPr>
      <w:r>
        <w:t>An incident in the DEFENSIVE mode.</w:t>
      </w:r>
    </w:p>
    <w:p w:rsidR="00A41FCC" w:rsidRDefault="00A41FCC" w:rsidP="00A41FCC">
      <w:pPr>
        <w:numPr>
          <w:ilvl w:val="1"/>
          <w:numId w:val="9"/>
        </w:numPr>
        <w:spacing w:after="0" w:line="240" w:lineRule="auto"/>
      </w:pPr>
      <w:r>
        <w:t>A building with truss roof construction where it is suspected that the truss area is being attacked by the fire.</w:t>
      </w:r>
    </w:p>
    <w:p w:rsidR="00A41FCC" w:rsidRDefault="00A41FCC" w:rsidP="00A41FCC">
      <w:pPr>
        <w:spacing w:after="0" w:line="240" w:lineRule="auto"/>
      </w:pPr>
    </w:p>
    <w:p w:rsidR="00A41FCC" w:rsidRPr="00A41FCC" w:rsidRDefault="00A41FCC" w:rsidP="00A41FCC">
      <w:pPr>
        <w:spacing w:after="0" w:line="240" w:lineRule="auto"/>
        <w:rPr>
          <w:b/>
        </w:rPr>
      </w:pPr>
      <w:r w:rsidRPr="00A41FCC">
        <w:rPr>
          <w:b/>
        </w:rPr>
        <w:t>Horizontal Ventilation</w:t>
      </w:r>
    </w:p>
    <w:p w:rsidR="00A41FCC" w:rsidRDefault="00A41FCC" w:rsidP="00A41FCC">
      <w:pPr>
        <w:numPr>
          <w:ilvl w:val="0"/>
          <w:numId w:val="10"/>
        </w:numPr>
        <w:spacing w:after="0" w:line="240" w:lineRule="auto"/>
      </w:pPr>
      <w:r>
        <w:t xml:space="preserve">Whenever a </w:t>
      </w:r>
      <w:r w:rsidR="002F6559">
        <w:t>firefighter</w:t>
      </w:r>
      <w:r>
        <w:t xml:space="preserve"> removes a window or door during ventilation from the exterior, the </w:t>
      </w:r>
      <w:r w:rsidR="002F6559">
        <w:t>firefighter</w:t>
      </w:r>
      <w:r>
        <w:t xml:space="preserve"> shall search the immediate area around the window or door with a tool from the exterior</w:t>
      </w:r>
      <w:r w:rsidR="006E6D85">
        <w:t xml:space="preserve"> for potential victims</w:t>
      </w:r>
      <w:r>
        <w:t>.</w:t>
      </w:r>
    </w:p>
    <w:p w:rsidR="00A41FCC" w:rsidRDefault="00A41FCC" w:rsidP="00A41FCC">
      <w:pPr>
        <w:spacing w:after="0" w:line="240" w:lineRule="auto"/>
      </w:pPr>
    </w:p>
    <w:p w:rsidR="00A41FCC" w:rsidRPr="00A41FCC" w:rsidRDefault="00A41FCC" w:rsidP="00A41FCC">
      <w:pPr>
        <w:spacing w:after="0" w:line="240" w:lineRule="auto"/>
        <w:rPr>
          <w:b/>
        </w:rPr>
      </w:pPr>
      <w:r w:rsidRPr="00A41FCC">
        <w:rPr>
          <w:b/>
        </w:rPr>
        <w:t>Positive Pressure Ventilation</w:t>
      </w:r>
    </w:p>
    <w:p w:rsidR="00A41FCC" w:rsidRDefault="00A41FCC" w:rsidP="00A41FCC">
      <w:pPr>
        <w:numPr>
          <w:ilvl w:val="0"/>
          <w:numId w:val="10"/>
        </w:numPr>
        <w:spacing w:after="0" w:line="240" w:lineRule="auto"/>
      </w:pPr>
      <w:r>
        <w:t>Positive pressure ventilation (PPV) can be utilized in the overhaul stage of the fire to lower carbon monoxide levels and to improve visibility.</w:t>
      </w:r>
    </w:p>
    <w:p w:rsidR="00A41FCC" w:rsidRDefault="00A41FCC" w:rsidP="00A41FCC">
      <w:pPr>
        <w:numPr>
          <w:ilvl w:val="0"/>
          <w:numId w:val="10"/>
        </w:numPr>
        <w:spacing w:after="0" w:line="240" w:lineRule="auto"/>
      </w:pPr>
      <w:r>
        <w:t>PPV must be properly considered against the desired result. Premature pressurizing of the fire building can cause fire spread toward victims or increase property damage.</w:t>
      </w:r>
    </w:p>
    <w:p w:rsidR="00A41FCC" w:rsidRDefault="00A41FCC" w:rsidP="00A41FCC">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A41FCC">
        <w:t>6-OF-611</w:t>
      </w:r>
      <w:r>
        <w:t xml:space="preserve"> </w:t>
      </w:r>
      <w:r w:rsidR="00464065">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C57AE9"/>
    <w:multiLevelType w:val="hybridMultilevel"/>
    <w:tmpl w:val="3BEE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A0443"/>
    <w:multiLevelType w:val="hybridMultilevel"/>
    <w:tmpl w:val="438CA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B4AF1"/>
    <w:multiLevelType w:val="hybridMultilevel"/>
    <w:tmpl w:val="E8E0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25636"/>
    <w:multiLevelType w:val="hybridMultilevel"/>
    <w:tmpl w:val="1F48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F6559"/>
    <w:rsid w:val="003B1531"/>
    <w:rsid w:val="003B30DC"/>
    <w:rsid w:val="003D6653"/>
    <w:rsid w:val="00400614"/>
    <w:rsid w:val="00464065"/>
    <w:rsid w:val="005337CC"/>
    <w:rsid w:val="005744AA"/>
    <w:rsid w:val="00590C97"/>
    <w:rsid w:val="005B5039"/>
    <w:rsid w:val="006309BD"/>
    <w:rsid w:val="00667644"/>
    <w:rsid w:val="006820A9"/>
    <w:rsid w:val="006C7A24"/>
    <w:rsid w:val="006D07BA"/>
    <w:rsid w:val="006E6D85"/>
    <w:rsid w:val="00726BA6"/>
    <w:rsid w:val="00753CCE"/>
    <w:rsid w:val="007562B4"/>
    <w:rsid w:val="00777C04"/>
    <w:rsid w:val="0079425E"/>
    <w:rsid w:val="008154E4"/>
    <w:rsid w:val="0085680C"/>
    <w:rsid w:val="008A1623"/>
    <w:rsid w:val="008A7EA1"/>
    <w:rsid w:val="008D7A5D"/>
    <w:rsid w:val="0094031C"/>
    <w:rsid w:val="009710F3"/>
    <w:rsid w:val="00976406"/>
    <w:rsid w:val="00A020EF"/>
    <w:rsid w:val="00A41FCC"/>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4C0121-6226-4ED8-993E-1BE3FA75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2018-11-29T15:09:00Z</cp:lastPrinted>
  <dcterms:created xsi:type="dcterms:W3CDTF">2019-03-22T15:28:00Z</dcterms:created>
  <dcterms:modified xsi:type="dcterms:W3CDTF">2019-03-22T15:28:00Z</dcterms:modified>
</cp:coreProperties>
</file>